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A404E" w14:textId="77777777" w:rsidR="00DF3A98" w:rsidRDefault="002F2CEC">
      <w:pPr>
        <w:jc w:val="center"/>
      </w:pPr>
      <w:r>
        <w:t>CALENDARIO DE EVALUACIONES SEGUNDO SEMESTRE</w:t>
      </w:r>
    </w:p>
    <w:p w14:paraId="4B41E9F2" w14:textId="77777777" w:rsidR="00DF3A98" w:rsidRDefault="002F2CEC">
      <w:pPr>
        <w:rPr>
          <w:b w:val="0"/>
          <w:bCs w:val="0"/>
        </w:rPr>
      </w:pPr>
      <w:r>
        <w:t xml:space="preserve">                             Mes: </w:t>
      </w:r>
      <w:r>
        <w:rPr>
          <w:b w:val="0"/>
          <w:bCs w:val="0"/>
        </w:rPr>
        <w:t xml:space="preserve">AGOSTO  </w:t>
      </w:r>
      <w:r>
        <w:t xml:space="preserve">                         curso: </w:t>
      </w:r>
      <w:r>
        <w:rPr>
          <w:b w:val="0"/>
          <w:bCs w:val="0"/>
        </w:rPr>
        <w:t>4°A</w:t>
      </w:r>
    </w:p>
    <w:tbl>
      <w:tblPr>
        <w:tblStyle w:val="a"/>
        <w:tblW w:w="9315" w:type="dxa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0"/>
        <w:gridCol w:w="1422"/>
        <w:gridCol w:w="1701"/>
        <w:gridCol w:w="1559"/>
        <w:gridCol w:w="3583"/>
      </w:tblGrid>
      <w:tr w:rsidR="00DF3A98" w:rsidRPr="00C31CA4" w14:paraId="01A9DB0A" w14:textId="77777777" w:rsidTr="00C31CA4">
        <w:tc>
          <w:tcPr>
            <w:tcW w:w="1050" w:type="dxa"/>
          </w:tcPr>
          <w:p w14:paraId="3AB8BB43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FECHA </w:t>
            </w:r>
          </w:p>
        </w:tc>
        <w:tc>
          <w:tcPr>
            <w:tcW w:w="1422" w:type="dxa"/>
          </w:tcPr>
          <w:p w14:paraId="5BF4C4B7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ASIGNATURA </w:t>
            </w:r>
          </w:p>
        </w:tc>
        <w:tc>
          <w:tcPr>
            <w:tcW w:w="1701" w:type="dxa"/>
          </w:tcPr>
          <w:p w14:paraId="582B9657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PROFESOR</w:t>
            </w:r>
          </w:p>
        </w:tc>
        <w:tc>
          <w:tcPr>
            <w:tcW w:w="1559" w:type="dxa"/>
          </w:tcPr>
          <w:p w14:paraId="1B337D1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 xml:space="preserve">ACTIVIDAD EVALUATIVA </w:t>
            </w:r>
          </w:p>
        </w:tc>
        <w:tc>
          <w:tcPr>
            <w:tcW w:w="3583" w:type="dxa"/>
          </w:tcPr>
          <w:p w14:paraId="2152D45E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DESCRIPCIÓN DE CONTENIDO</w:t>
            </w:r>
          </w:p>
        </w:tc>
      </w:tr>
      <w:tr w:rsidR="00DF3A98" w:rsidRPr="00C31CA4" w14:paraId="20B64D37" w14:textId="77777777" w:rsidTr="00C31CA4">
        <w:tc>
          <w:tcPr>
            <w:tcW w:w="1050" w:type="dxa"/>
          </w:tcPr>
          <w:p w14:paraId="6C44CDA5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10-08</w:t>
            </w:r>
          </w:p>
        </w:tc>
        <w:tc>
          <w:tcPr>
            <w:tcW w:w="1422" w:type="dxa"/>
          </w:tcPr>
          <w:p w14:paraId="269229EE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Lengua y cultura de los pueblos originarios ancestrales</w:t>
            </w:r>
          </w:p>
        </w:tc>
        <w:tc>
          <w:tcPr>
            <w:tcW w:w="1701" w:type="dxa"/>
          </w:tcPr>
          <w:p w14:paraId="505F5F8F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Karina Salazar </w:t>
            </w:r>
            <w:proofErr w:type="spellStart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Calfuquir</w:t>
            </w:r>
            <w:proofErr w:type="spellEnd"/>
          </w:p>
          <w:p w14:paraId="75E1D174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  <w:p w14:paraId="732D4D8B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C04B7D2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Evaluación oral</w:t>
            </w:r>
          </w:p>
        </w:tc>
        <w:tc>
          <w:tcPr>
            <w:tcW w:w="3583" w:type="dxa"/>
          </w:tcPr>
          <w:p w14:paraId="4C0CC389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Explican de forma oral el proceso de siembra de una semilla, considerando las etapas del cultivo, el tiempo de germinación, la influencia de las fases de la </w:t>
            </w: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luna, la estación del año más adecuada para sembrar y el lugar o condiciones donde la semilla se desarrolla de mejor manera. También fundamentan la importancia de estos elementos en el crecimiento de la planta. </w:t>
            </w:r>
          </w:p>
        </w:tc>
      </w:tr>
      <w:tr w:rsidR="00DF3A98" w:rsidRPr="00C31CA4" w14:paraId="57A5AACD" w14:textId="77777777" w:rsidTr="00C31CA4">
        <w:tc>
          <w:tcPr>
            <w:tcW w:w="1050" w:type="dxa"/>
          </w:tcPr>
          <w:p w14:paraId="0CBD06C8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18-08</w:t>
            </w:r>
          </w:p>
        </w:tc>
        <w:tc>
          <w:tcPr>
            <w:tcW w:w="1422" w:type="dxa"/>
          </w:tcPr>
          <w:p w14:paraId="4AB9EB4A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Matemática</w:t>
            </w:r>
          </w:p>
        </w:tc>
        <w:tc>
          <w:tcPr>
            <w:tcW w:w="1701" w:type="dxa"/>
          </w:tcPr>
          <w:p w14:paraId="59845E6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Rachel Peñaloza</w:t>
            </w:r>
          </w:p>
        </w:tc>
        <w:tc>
          <w:tcPr>
            <w:tcW w:w="1559" w:type="dxa"/>
          </w:tcPr>
          <w:p w14:paraId="4626A48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Evaluación escrita</w:t>
            </w:r>
          </w:p>
        </w:tc>
        <w:tc>
          <w:tcPr>
            <w:tcW w:w="3583" w:type="dxa"/>
          </w:tcPr>
          <w:p w14:paraId="5382CCB2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(OA 5) Demostrar que comprende la</w:t>
            </w:r>
          </w:p>
          <w:p w14:paraId="5BF3B9F4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multiplicación de números de tres dígitos por</w:t>
            </w:r>
          </w:p>
          <w:p w14:paraId="3031B80F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números de un dígito: › usando estrategias</w:t>
            </w:r>
          </w:p>
          <w:p w14:paraId="7E6ED8EF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con o sin material concreto › utilizando las</w:t>
            </w:r>
          </w:p>
          <w:p w14:paraId="7D853F9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tablas de multiplicación › estimando</w:t>
            </w:r>
          </w:p>
          <w:p w14:paraId="7BE5339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productos › usan</w:t>
            </w: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do la propiedad distributiva</w:t>
            </w:r>
          </w:p>
          <w:p w14:paraId="22F8D01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de la multiplicación respecto de la suma ›</w:t>
            </w:r>
          </w:p>
          <w:p w14:paraId="3E53F10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aplicando el algoritmo de la multiplicación ›</w:t>
            </w:r>
          </w:p>
          <w:p w14:paraId="355257E2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resolviendo problemas rutinarios</w:t>
            </w:r>
          </w:p>
          <w:p w14:paraId="330257B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(OA 6) Demostrar que comprenden la división</w:t>
            </w:r>
          </w:p>
          <w:p w14:paraId="7BECB0F1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con dividendos de dos dígitos y divisores de</w:t>
            </w:r>
          </w:p>
          <w:p w14:paraId="424D1219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un dígito: › usa</w:t>
            </w: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ndo estrategias para dividir,</w:t>
            </w:r>
          </w:p>
          <w:p w14:paraId="21BC2F5C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con o sin material concreto › utilizando la</w:t>
            </w:r>
          </w:p>
          <w:p w14:paraId="4B71B3F0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relación que existe entre la división y la</w:t>
            </w:r>
          </w:p>
          <w:p w14:paraId="6410DE0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multiplicación › estimando el cociente ›</w:t>
            </w:r>
          </w:p>
          <w:p w14:paraId="76224BDE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aplicando la estrategia por descomposición</w:t>
            </w:r>
          </w:p>
          <w:p w14:paraId="1CC56CA0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del dividendo › aplicando el algoritmo de la</w:t>
            </w:r>
          </w:p>
          <w:p w14:paraId="5CE4FC0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división</w:t>
            </w:r>
          </w:p>
        </w:tc>
      </w:tr>
      <w:tr w:rsidR="00DF3A98" w:rsidRPr="00C31CA4" w14:paraId="385820B7" w14:textId="77777777" w:rsidTr="00C31CA4">
        <w:tc>
          <w:tcPr>
            <w:tcW w:w="1050" w:type="dxa"/>
          </w:tcPr>
          <w:p w14:paraId="099669E5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21-08</w:t>
            </w:r>
          </w:p>
        </w:tc>
        <w:tc>
          <w:tcPr>
            <w:tcW w:w="1422" w:type="dxa"/>
          </w:tcPr>
          <w:p w14:paraId="6A692D7C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Lenguaje y comunicación</w:t>
            </w:r>
          </w:p>
        </w:tc>
        <w:tc>
          <w:tcPr>
            <w:tcW w:w="1701" w:type="dxa"/>
          </w:tcPr>
          <w:p w14:paraId="6002F032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Viviana Quilodrán</w:t>
            </w:r>
          </w:p>
        </w:tc>
        <w:tc>
          <w:tcPr>
            <w:tcW w:w="1559" w:type="dxa"/>
          </w:tcPr>
          <w:p w14:paraId="6BC59B8F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Evaluación escrita</w:t>
            </w:r>
          </w:p>
        </w:tc>
        <w:tc>
          <w:tcPr>
            <w:tcW w:w="3583" w:type="dxa"/>
          </w:tcPr>
          <w:p w14:paraId="16ED9E49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Lectura domiciliaria “Martín manda</w:t>
            </w:r>
          </w:p>
          <w:p w14:paraId="34DE0833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  <w:p w14:paraId="44ED506A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su rabia”</w:t>
            </w:r>
          </w:p>
          <w:p w14:paraId="5F32BBB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Autor: </w:t>
            </w:r>
            <w:proofErr w:type="spellStart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Neva</w:t>
            </w:r>
            <w:proofErr w:type="spellEnd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Milicic</w:t>
            </w:r>
            <w:proofErr w:type="spellEnd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.</w:t>
            </w:r>
          </w:p>
        </w:tc>
      </w:tr>
      <w:tr w:rsidR="00DF3A98" w:rsidRPr="00C31CA4" w14:paraId="54336369" w14:textId="77777777" w:rsidTr="00C31CA4">
        <w:tc>
          <w:tcPr>
            <w:tcW w:w="1050" w:type="dxa"/>
          </w:tcPr>
          <w:p w14:paraId="27EBE007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Mínimo una</w:t>
            </w:r>
          </w:p>
          <w:p w14:paraId="1EFE3454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vez a la</w:t>
            </w:r>
          </w:p>
          <w:p w14:paraId="192A2E72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semana</w:t>
            </w:r>
          </w:p>
        </w:tc>
        <w:tc>
          <w:tcPr>
            <w:tcW w:w="1422" w:type="dxa"/>
          </w:tcPr>
          <w:p w14:paraId="02447A2C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Lenguaje y comunicación</w:t>
            </w:r>
          </w:p>
        </w:tc>
        <w:tc>
          <w:tcPr>
            <w:tcW w:w="1701" w:type="dxa"/>
          </w:tcPr>
          <w:p w14:paraId="180FAAA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Viviana Quilodrán</w:t>
            </w:r>
          </w:p>
        </w:tc>
        <w:tc>
          <w:tcPr>
            <w:tcW w:w="1559" w:type="dxa"/>
          </w:tcPr>
          <w:p w14:paraId="2C1272C8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583" w:type="dxa"/>
          </w:tcPr>
          <w:p w14:paraId="5ACA304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Dictados de los contenidos</w:t>
            </w:r>
          </w:p>
          <w:p w14:paraId="19AB1AE4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estudiados.</w:t>
            </w:r>
          </w:p>
        </w:tc>
      </w:tr>
      <w:tr w:rsidR="00DF3A98" w:rsidRPr="00C31CA4" w14:paraId="2D4C9D9F" w14:textId="77777777" w:rsidTr="00C31CA4">
        <w:tc>
          <w:tcPr>
            <w:tcW w:w="1050" w:type="dxa"/>
          </w:tcPr>
          <w:p w14:paraId="52799107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lastRenderedPageBreak/>
              <w:t>24-08</w:t>
            </w:r>
          </w:p>
        </w:tc>
        <w:tc>
          <w:tcPr>
            <w:tcW w:w="1422" w:type="dxa"/>
          </w:tcPr>
          <w:p w14:paraId="1CBDAA3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Música</w:t>
            </w:r>
          </w:p>
        </w:tc>
        <w:tc>
          <w:tcPr>
            <w:tcW w:w="1701" w:type="dxa"/>
          </w:tcPr>
          <w:p w14:paraId="3338A0D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Rachel Peñaloza</w:t>
            </w:r>
          </w:p>
        </w:tc>
        <w:tc>
          <w:tcPr>
            <w:tcW w:w="1559" w:type="dxa"/>
          </w:tcPr>
          <w:p w14:paraId="1E7EC779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Pasaporte musical (pauta de</w:t>
            </w:r>
          </w:p>
          <w:p w14:paraId="00B73A5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cotejo) evaluación de</w:t>
            </w:r>
          </w:p>
          <w:p w14:paraId="1046A741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proceso</w:t>
            </w:r>
          </w:p>
          <w:p w14:paraId="018B1533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583" w:type="dxa"/>
          </w:tcPr>
          <w:p w14:paraId="4FB9076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(OA 2) Expresar, mostrando grados crecientes</w:t>
            </w:r>
          </w:p>
          <w:p w14:paraId="085EC42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de elaboración, sensaciones, emociones e</w:t>
            </w:r>
          </w:p>
          <w:p w14:paraId="3697771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ideas que les sugiere la música escuchada,</w:t>
            </w:r>
          </w:p>
          <w:p w14:paraId="6BC16BCC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usando diversos medios expresivos (verbal,</w:t>
            </w:r>
          </w:p>
          <w:p w14:paraId="76517042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corporal, musical, visual).</w:t>
            </w:r>
          </w:p>
        </w:tc>
      </w:tr>
      <w:tr w:rsidR="00DF3A98" w:rsidRPr="00C31CA4" w14:paraId="1310E01E" w14:textId="77777777" w:rsidTr="00C31CA4">
        <w:tc>
          <w:tcPr>
            <w:tcW w:w="1050" w:type="dxa"/>
          </w:tcPr>
          <w:p w14:paraId="6F47AA29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25-08</w:t>
            </w:r>
          </w:p>
        </w:tc>
        <w:tc>
          <w:tcPr>
            <w:tcW w:w="1422" w:type="dxa"/>
          </w:tcPr>
          <w:p w14:paraId="2B57D91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Historia</w:t>
            </w:r>
          </w:p>
        </w:tc>
        <w:tc>
          <w:tcPr>
            <w:tcW w:w="1701" w:type="dxa"/>
          </w:tcPr>
          <w:p w14:paraId="642FF3F0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Rachel Peñaloza</w:t>
            </w:r>
          </w:p>
        </w:tc>
        <w:tc>
          <w:tcPr>
            <w:tcW w:w="1559" w:type="dxa"/>
          </w:tcPr>
          <w:p w14:paraId="1EAE1AF3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Taller (guía evaluada)</w:t>
            </w:r>
          </w:p>
        </w:tc>
        <w:tc>
          <w:tcPr>
            <w:tcW w:w="3583" w:type="dxa"/>
          </w:tcPr>
          <w:p w14:paraId="184CB12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Describir la civilización maya,</w:t>
            </w:r>
          </w:p>
          <w:p w14:paraId="5135B71B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considerando ubicación geográfica,</w:t>
            </w:r>
          </w:p>
          <w:p w14:paraId="14BE63A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organización política, actividades económicas,</w:t>
            </w:r>
          </w:p>
          <w:p w14:paraId="67018CCD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formas de cultivo y alimentos, organización de</w:t>
            </w:r>
          </w:p>
          <w:p w14:paraId="418388D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la sociedad, roles y oficios de hombres y</w:t>
            </w:r>
          </w:p>
          <w:p w14:paraId="6E2556F3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mujeres, religión y ritos, desarrollo de la</w:t>
            </w:r>
          </w:p>
          <w:p w14:paraId="2985A6FC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astronomía y la matemática, sistemas de</w:t>
            </w:r>
          </w:p>
          <w:p w14:paraId="0763CB0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escritura, guerras y sacrificios humanos,</w:t>
            </w:r>
          </w:p>
          <w:p w14:paraId="1A703E82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construcciones, costumbres y vida cotidiana,</w:t>
            </w:r>
          </w:p>
          <w:p w14:paraId="20D7D4F1" w14:textId="72CE15F1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entre otros.</w:t>
            </w:r>
          </w:p>
        </w:tc>
      </w:tr>
      <w:tr w:rsidR="00DF3A98" w:rsidRPr="00C31CA4" w14:paraId="0C5EB552" w14:textId="77777777" w:rsidTr="00C31CA4">
        <w:tc>
          <w:tcPr>
            <w:tcW w:w="1050" w:type="dxa"/>
          </w:tcPr>
          <w:p w14:paraId="0972AC14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26-08</w:t>
            </w:r>
          </w:p>
        </w:tc>
        <w:tc>
          <w:tcPr>
            <w:tcW w:w="1422" w:type="dxa"/>
          </w:tcPr>
          <w:p w14:paraId="0F403231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Ciencias naturales</w:t>
            </w:r>
          </w:p>
        </w:tc>
        <w:tc>
          <w:tcPr>
            <w:tcW w:w="1701" w:type="dxa"/>
          </w:tcPr>
          <w:p w14:paraId="2CD23ABF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Rachel Peñaloza</w:t>
            </w:r>
          </w:p>
        </w:tc>
        <w:tc>
          <w:tcPr>
            <w:tcW w:w="1559" w:type="dxa"/>
          </w:tcPr>
          <w:p w14:paraId="18248D07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Taller (guía evaluada)</w:t>
            </w:r>
          </w:p>
        </w:tc>
        <w:tc>
          <w:tcPr>
            <w:tcW w:w="3583" w:type="dxa"/>
          </w:tcPr>
          <w:p w14:paraId="4D42FEA3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Descri</w:t>
            </w: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bir por medio de modelos, que</w:t>
            </w:r>
          </w:p>
          <w:p w14:paraId="1E2F9CCB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la Tierra tiene una estructura de capas</w:t>
            </w:r>
          </w:p>
          <w:p w14:paraId="239EC89A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(corteza, manto y núcleo) con características</w:t>
            </w:r>
          </w:p>
          <w:p w14:paraId="1D827FE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distintivas en cuanto a su composición, rigidez</w:t>
            </w:r>
          </w:p>
          <w:p w14:paraId="3271B775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y temperatura.</w:t>
            </w:r>
          </w:p>
          <w:p w14:paraId="4F97C49E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</w:tc>
      </w:tr>
      <w:tr w:rsidR="00DF3A98" w:rsidRPr="00C31CA4" w14:paraId="169405FE" w14:textId="77777777" w:rsidTr="00C31CA4">
        <w:tc>
          <w:tcPr>
            <w:tcW w:w="1050" w:type="dxa"/>
          </w:tcPr>
          <w:p w14:paraId="285ECF0D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27-08</w:t>
            </w:r>
          </w:p>
        </w:tc>
        <w:tc>
          <w:tcPr>
            <w:tcW w:w="1422" w:type="dxa"/>
          </w:tcPr>
          <w:p w14:paraId="5839EB68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Artes visuales</w:t>
            </w:r>
          </w:p>
        </w:tc>
        <w:tc>
          <w:tcPr>
            <w:tcW w:w="1701" w:type="dxa"/>
          </w:tcPr>
          <w:p w14:paraId="4108CBC6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Rachel Peñaloza</w:t>
            </w:r>
          </w:p>
        </w:tc>
        <w:tc>
          <w:tcPr>
            <w:tcW w:w="1559" w:type="dxa"/>
          </w:tcPr>
          <w:p w14:paraId="097E405A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Pauta de cotejo</w:t>
            </w:r>
          </w:p>
        </w:tc>
        <w:tc>
          <w:tcPr>
            <w:tcW w:w="3583" w:type="dxa"/>
          </w:tcPr>
          <w:p w14:paraId="4B7772DE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(OA 2) Aplicar elementos del lenguaje visual</w:t>
            </w:r>
          </w:p>
          <w:p w14:paraId="407E9500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(incluidos los de niveles anteriores) en sus</w:t>
            </w:r>
          </w:p>
          <w:p w14:paraId="5326FF7C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trabajos de arte, con diversos propósitos</w:t>
            </w:r>
          </w:p>
          <w:p w14:paraId="1A2413C3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expresivos y creativos: › líneas de contorno ›</w:t>
            </w:r>
          </w:p>
          <w:p w14:paraId="7516DFE7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color (tono y matiz) › forma (figurativa y no</w:t>
            </w:r>
          </w:p>
          <w:p w14:paraId="09988660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figurativa)</w:t>
            </w:r>
          </w:p>
          <w:p w14:paraId="3B67C241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</w:p>
        </w:tc>
      </w:tr>
      <w:tr w:rsidR="00DF3A98" w:rsidRPr="00C31CA4" w14:paraId="0BF8B134" w14:textId="77777777" w:rsidTr="00C31CA4">
        <w:tc>
          <w:tcPr>
            <w:tcW w:w="1050" w:type="dxa"/>
          </w:tcPr>
          <w:p w14:paraId="47B69499" w14:textId="77777777" w:rsidR="00DF3A98" w:rsidRPr="00C31CA4" w:rsidRDefault="002F2CEC">
            <w:pPr>
              <w:jc w:val="center"/>
              <w:rPr>
                <w:rFonts w:asciiTheme="majorHAnsi" w:eastAsia="Arial" w:hAnsiTheme="majorHAnsi" w:cstheme="majorHAnsi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sz w:val="22"/>
                <w:szCs w:val="22"/>
              </w:rPr>
              <w:t>28-08</w:t>
            </w:r>
          </w:p>
        </w:tc>
        <w:tc>
          <w:tcPr>
            <w:tcW w:w="1422" w:type="dxa"/>
          </w:tcPr>
          <w:p w14:paraId="426F9BAE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Taller de inglés</w:t>
            </w:r>
          </w:p>
        </w:tc>
        <w:tc>
          <w:tcPr>
            <w:tcW w:w="1701" w:type="dxa"/>
          </w:tcPr>
          <w:p w14:paraId="4EB443D8" w14:textId="77777777" w:rsidR="00DF3A98" w:rsidRPr="00C31CA4" w:rsidRDefault="002F2CEC">
            <w:pPr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Liliana </w:t>
            </w:r>
            <w:proofErr w:type="spellStart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Kuvacic</w:t>
            </w:r>
            <w:proofErr w:type="spellEnd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Poll</w:t>
            </w:r>
            <w:proofErr w:type="spellEnd"/>
          </w:p>
        </w:tc>
        <w:tc>
          <w:tcPr>
            <w:tcW w:w="1559" w:type="dxa"/>
          </w:tcPr>
          <w:p w14:paraId="749B82F1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</w:p>
        </w:tc>
        <w:tc>
          <w:tcPr>
            <w:tcW w:w="3583" w:type="dxa"/>
          </w:tcPr>
          <w:p w14:paraId="0CFB50B7" w14:textId="77777777" w:rsidR="00DF3A98" w:rsidRPr="00C31CA4" w:rsidRDefault="002F2CEC">
            <w:pPr>
              <w:shd w:val="clear" w:color="auto" w:fill="FFFFFF"/>
              <w:jc w:val="both"/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</w:pPr>
            <w:r w:rsidRPr="00C31CA4">
              <w:rPr>
                <w:rFonts w:asciiTheme="majorHAnsi" w:eastAsia="Arial" w:hAnsiTheme="majorHAnsi" w:cstheme="majorHAnsi"/>
                <w:b w:val="0"/>
                <w:bCs w:val="0"/>
                <w:sz w:val="22"/>
                <w:szCs w:val="22"/>
              </w:rPr>
              <w:t>Características de los planetas en inglés, vocabulario de la unidad.</w:t>
            </w:r>
          </w:p>
          <w:p w14:paraId="20542505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</w:p>
          <w:p w14:paraId="571CEE8E" w14:textId="77777777" w:rsidR="00DF3A98" w:rsidRPr="00C31CA4" w:rsidRDefault="00DF3A98">
            <w:pPr>
              <w:jc w:val="both"/>
              <w:rPr>
                <w:rFonts w:asciiTheme="majorHAnsi" w:eastAsia="Arial" w:hAnsiTheme="majorHAnsi" w:cstheme="majorHAnsi"/>
                <w:sz w:val="22"/>
                <w:szCs w:val="22"/>
              </w:rPr>
            </w:pPr>
          </w:p>
        </w:tc>
      </w:tr>
    </w:tbl>
    <w:p w14:paraId="5EB2D5C8" w14:textId="77777777" w:rsidR="00DF3A98" w:rsidRDefault="00DF3A98">
      <w:pPr>
        <w:jc w:val="both"/>
        <w:rPr>
          <w:rFonts w:ascii="Arial" w:eastAsia="Arial" w:hAnsi="Arial" w:cs="Arial"/>
          <w:sz w:val="24"/>
          <w:szCs w:val="24"/>
        </w:rPr>
      </w:pPr>
    </w:p>
    <w:p w14:paraId="0DC034D9" w14:textId="77777777" w:rsidR="00DF3A98" w:rsidRDefault="00DF3A98">
      <w:pPr>
        <w:jc w:val="both"/>
        <w:rPr>
          <w:rFonts w:ascii="Arial" w:eastAsia="Arial" w:hAnsi="Arial" w:cs="Arial"/>
          <w:sz w:val="24"/>
          <w:szCs w:val="24"/>
        </w:rPr>
      </w:pPr>
    </w:p>
    <w:p w14:paraId="21B81E7C" w14:textId="77777777" w:rsidR="00DF3A98" w:rsidRDefault="00DF3A98">
      <w:pPr>
        <w:jc w:val="both"/>
        <w:rPr>
          <w:rFonts w:ascii="Arial" w:eastAsia="Arial" w:hAnsi="Arial" w:cs="Arial"/>
          <w:sz w:val="24"/>
          <w:szCs w:val="24"/>
        </w:rPr>
      </w:pPr>
    </w:p>
    <w:p w14:paraId="2F76309F" w14:textId="77777777" w:rsidR="00DF3A98" w:rsidRDefault="00DF3A98">
      <w:pPr>
        <w:jc w:val="both"/>
        <w:rPr>
          <w:rFonts w:ascii="Arial" w:eastAsia="Arial" w:hAnsi="Arial" w:cs="Arial"/>
          <w:sz w:val="24"/>
          <w:szCs w:val="24"/>
        </w:rPr>
      </w:pPr>
    </w:p>
    <w:p w14:paraId="643418BB" w14:textId="77777777" w:rsidR="00DF3A98" w:rsidRDefault="00DF3A98">
      <w:pPr>
        <w:jc w:val="both"/>
        <w:rPr>
          <w:rFonts w:ascii="Arial" w:eastAsia="Arial" w:hAnsi="Arial" w:cs="Arial"/>
          <w:b w:val="0"/>
          <w:bCs w:val="0"/>
          <w:sz w:val="24"/>
          <w:szCs w:val="24"/>
        </w:rPr>
      </w:pPr>
    </w:p>
    <w:sectPr w:rsidR="00DF3A98">
      <w:headerReference w:type="default" r:id="rId7"/>
      <w:footerReference w:type="default" r:id="rId8"/>
      <w:pgSz w:w="12242" w:h="18722"/>
      <w:pgMar w:top="1418" w:right="1134" w:bottom="1134" w:left="1701" w:header="709" w:footer="2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08ED1" w14:textId="77777777" w:rsidR="002F2CEC" w:rsidRDefault="002F2CEC">
      <w:pPr>
        <w:spacing w:after="0"/>
      </w:pPr>
      <w:r>
        <w:separator/>
      </w:r>
    </w:p>
  </w:endnote>
  <w:endnote w:type="continuationSeparator" w:id="0">
    <w:p w14:paraId="23A35416" w14:textId="77777777" w:rsidR="002F2CEC" w:rsidRDefault="002F2C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3D6402A-F04D-42F4-8066-B9A65D743278}"/>
    <w:embedBold r:id="rId2" w:fontKey="{F53440AF-0CF3-492C-8790-1306F7DDF8B8}"/>
    <w:embedBoldItalic r:id="rId3" w:fontKey="{321C6C04-3452-4415-90FC-2ECBD0FFCE5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BoldItalic r:id="rId4" w:fontKey="{AE877C9F-D047-408F-9034-92A1690BD1E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5EBE45C-CBE3-4CC5-8AB1-A46717897C6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67CC" w14:textId="77777777" w:rsidR="00DF3A98" w:rsidRDefault="00DF3A9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Calibri" w:eastAsia="Calibri" w:hAnsi="Calibri" w:cs="Calibri"/>
        <w:color w:val="BFBFBF"/>
        <w:sz w:val="22"/>
        <w:szCs w:val="22"/>
      </w:rPr>
    </w:pPr>
  </w:p>
  <w:tbl>
    <w:tblPr>
      <w:tblStyle w:val="a0"/>
      <w:tblW w:w="10060" w:type="dxa"/>
      <w:jc w:val="center"/>
      <w:tblInd w:w="0" w:type="dxa"/>
      <w:tblBorders>
        <w:top w:val="single" w:sz="18" w:space="0" w:color="0033CC"/>
        <w:left w:val="nil"/>
        <w:bottom w:val="nil"/>
        <w:right w:val="nil"/>
        <w:insideH w:val="single" w:sz="4" w:space="0" w:color="0033CC"/>
        <w:insideV w:val="single" w:sz="4" w:space="0" w:color="0033CC"/>
      </w:tblBorders>
      <w:tblLayout w:type="fixed"/>
      <w:tblLook w:val="0400" w:firstRow="0" w:lastRow="0" w:firstColumn="0" w:lastColumn="0" w:noHBand="0" w:noVBand="1"/>
    </w:tblPr>
    <w:tblGrid>
      <w:gridCol w:w="1353"/>
      <w:gridCol w:w="2104"/>
      <w:gridCol w:w="3679"/>
      <w:gridCol w:w="2924"/>
    </w:tblGrid>
    <w:tr w:rsidR="00DF3A98" w14:paraId="13F17AE9" w14:textId="77777777">
      <w:trPr>
        <w:trHeight w:val="724"/>
        <w:jc w:val="center"/>
      </w:trPr>
      <w:tc>
        <w:tcPr>
          <w:tcW w:w="1353" w:type="dxa"/>
        </w:tcPr>
        <w:p w14:paraId="2FDBC677" w14:textId="77777777" w:rsidR="00DF3A98" w:rsidRDefault="002F2CEC">
          <w:proofErr w:type="spellStart"/>
          <w:r>
            <w:t>Boyeco</w:t>
          </w:r>
          <w:proofErr w:type="spellEnd"/>
          <w:r>
            <w:t xml:space="preserve"> #0561</w:t>
          </w:r>
        </w:p>
      </w:tc>
      <w:tc>
        <w:tcPr>
          <w:tcW w:w="2104" w:type="dxa"/>
        </w:tcPr>
        <w:p w14:paraId="1D599667" w14:textId="77777777" w:rsidR="00DF3A98" w:rsidRDefault="002F2CEC">
          <w:r>
            <w:t>Teléfono: (45)2345837</w:t>
          </w:r>
        </w:p>
      </w:tc>
      <w:tc>
        <w:tcPr>
          <w:tcW w:w="3679" w:type="dxa"/>
        </w:tcPr>
        <w:p w14:paraId="10EBB8B9" w14:textId="77777777" w:rsidR="00DF3A98" w:rsidRDefault="002F2CEC">
          <w:r>
            <w:t>Email: villacarolina@temuco.cl</w:t>
          </w:r>
        </w:p>
      </w:tc>
      <w:tc>
        <w:tcPr>
          <w:tcW w:w="2924" w:type="dxa"/>
        </w:tcPr>
        <w:p w14:paraId="3E1A59BD" w14:textId="77777777" w:rsidR="00DF3A98" w:rsidRDefault="002F2CEC">
          <w:r>
            <w:t>www.villacarolina-temuco.cl</w:t>
          </w:r>
        </w:p>
      </w:tc>
    </w:tr>
  </w:tbl>
  <w:p w14:paraId="3204E88E" w14:textId="77777777" w:rsidR="00DF3A98" w:rsidRDefault="00DF3A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F7FA9" w14:textId="77777777" w:rsidR="002F2CEC" w:rsidRDefault="002F2CEC">
      <w:pPr>
        <w:spacing w:after="0"/>
      </w:pPr>
      <w:r>
        <w:separator/>
      </w:r>
    </w:p>
  </w:footnote>
  <w:footnote w:type="continuationSeparator" w:id="0">
    <w:p w14:paraId="56EC3880" w14:textId="77777777" w:rsidR="002F2CEC" w:rsidRDefault="002F2C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34DF8" w14:textId="77777777" w:rsidR="00DF3A98" w:rsidRDefault="002F2C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76" w:lineRule="auto"/>
      <w:rPr>
        <w:rFonts w:ascii="Calibri" w:eastAsia="Calibri" w:hAnsi="Calibri" w:cs="Calibri"/>
        <w:color w:val="BFBFBF"/>
        <w:sz w:val="22"/>
        <w:szCs w:val="22"/>
      </w:rPr>
    </w:pPr>
    <w:r>
      <w:rPr>
        <w:rFonts w:ascii="Calibri" w:eastAsia="Calibri" w:hAnsi="Calibri" w:cs="Calibri"/>
        <w:color w:val="BFBFBF"/>
        <w:sz w:val="22"/>
        <w:szCs w:val="22"/>
      </w:rPr>
      <w:t xml:space="preserve">                                               ESCUELA MUNICIPAL VILLA CAROLINA                               2026                                                     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C4F7FBA" wp14:editId="50E3E43C">
          <wp:simplePos x="0" y="0"/>
          <wp:positionH relativeFrom="column">
            <wp:posOffset>-251929</wp:posOffset>
          </wp:positionH>
          <wp:positionV relativeFrom="paragraph">
            <wp:posOffset>-275009</wp:posOffset>
          </wp:positionV>
          <wp:extent cx="709930" cy="69088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83039A" w14:textId="77777777" w:rsidR="00DF3A98" w:rsidRDefault="002F2C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76" w:lineRule="auto"/>
      <w:jc w:val="center"/>
      <w:rPr>
        <w:rFonts w:ascii="Calibri" w:eastAsia="Calibri" w:hAnsi="Calibri" w:cs="Calibri"/>
        <w:color w:val="BFBFBF"/>
        <w:sz w:val="22"/>
        <w:szCs w:val="22"/>
      </w:rPr>
    </w:pPr>
    <w:r>
      <w:rPr>
        <w:rFonts w:ascii="Calibri" w:eastAsia="Calibri" w:hAnsi="Calibri" w:cs="Calibri"/>
        <w:color w:val="BFBFBF"/>
        <w:sz w:val="22"/>
        <w:szCs w:val="22"/>
      </w:rPr>
      <w:t>“Formación ciudadana con énfasis en la inclusión, interculturalidad</w:t>
    </w:r>
    <w:r>
      <w:rPr>
        <w:rFonts w:ascii="Calibri" w:eastAsia="Calibri" w:hAnsi="Calibri" w:cs="Calibri"/>
        <w:color w:val="BFBFBF"/>
        <w:sz w:val="22"/>
        <w:szCs w:val="22"/>
      </w:rPr>
      <w:t xml:space="preserve"> y entrega de valores”</w: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hidden="0" allowOverlap="1" wp14:anchorId="51B7C556" wp14:editId="121A5188">
              <wp:simplePos x="0" y="0"/>
              <wp:positionH relativeFrom="column">
                <wp:posOffset>756920</wp:posOffset>
              </wp:positionH>
              <wp:positionV relativeFrom="paragraph">
                <wp:posOffset>1271</wp:posOffset>
              </wp:positionV>
              <wp:extent cx="5113020" cy="19050"/>
              <wp:effectExtent l="0" t="0" r="0" b="0"/>
              <wp:wrapNone/>
              <wp:docPr id="1" name="Conector recto de flech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789490" y="3780000"/>
                        <a:ext cx="5113020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chemeClr val="accen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756920</wp:posOffset>
              </wp:positionH>
              <wp:positionV relativeFrom="paragraph">
                <wp:posOffset>1271</wp:posOffset>
              </wp:positionV>
              <wp:extent cx="5113020" cy="190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13020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A98"/>
    <w:rsid w:val="002F2CEC"/>
    <w:rsid w:val="00C31CA4"/>
    <w:rsid w:val="00DF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36354"/>
  <w15:docId w15:val="{49167633-D1E0-4322-AE76-20D90579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b/>
        <w:bCs/>
        <w:sz w:val="27"/>
        <w:szCs w:val="27"/>
        <w:lang w:val="es-CL" w:eastAsia="es-CL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outlineLvl w:val="2"/>
    </w:pPr>
    <w:rPr>
      <w:b w:val="0"/>
      <w:bCs w:val="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iCs/>
      <w:color w:val="2E75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/S/kpb7ePzzaVwJrkkMkni5HoA==">CgMxLjA4AHIhMXVkUERKVllVRlNpc0NWSjItY2JjMUNOU2k2ZDM3LUdv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2623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UTP</dc:creator>
  <cp:lastModifiedBy>UTP</cp:lastModifiedBy>
  <cp:revision>2</cp:revision>
  <dcterms:created xsi:type="dcterms:W3CDTF">2026-07-27T14:19:00Z</dcterms:created>
  <dcterms:modified xsi:type="dcterms:W3CDTF">2026-07-27T14:19:00Z</dcterms:modified>
</cp:coreProperties>
</file>